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Chronic pelvic / visceral pelvic pain</w:t>
      </w:r>
    </w:p>
    <w:p>
      <w:r>
        <w:t>Form ID: exam_pelvic_visceral_pain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Inspection / function</w:t>
            </w:r>
          </w:p>
        </w:tc>
        <w:tc>
          <w:tcPr>
            <w:tcW w:type="dxa" w:w="1728"/>
          </w:tcPr>
          <w:p>
            <w:r>
              <w:t>inspection_function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Palpation / tenderness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Range / strength / neurologic findings</w:t>
            </w:r>
          </w:p>
        </w:tc>
        <w:tc>
          <w:tcPr>
            <w:tcW w:type="dxa" w:w="1728"/>
          </w:tcPr>
          <w:p>
            <w:r>
              <w:t>range_strength_neuro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Condition-specific provocative tests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Exam</w:t>
            </w:r>
          </w:p>
        </w:tc>
        <w:tc>
          <w:tcPr>
            <w:tcW w:type="dxa" w:w="1728"/>
          </w:tcPr>
          <w:p>
            <w:r>
              <w:t>Red flag / safety findings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Procedural target assessment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 - Chronic pelvic / visceral pelvic pain</w:t>
      </w:r>
    </w:p>
    <w:p/>
    <w:p>
      <w:r>
        <w:t>Condition focus: {{condition_focus}}</w:t>
      </w:r>
    </w:p>
    <w:p>
      <w:r>
        <w:t>Inspection/function: {{inspection_function}}</w:t>
      </w:r>
    </w:p>
    <w:p>
      <w:r>
        <w:t>Palpation: {{palpation_findings}}</w:t>
      </w:r>
    </w:p>
    <w:p>
      <w:r>
        <w:t>ROM/strength/neuro: {{range_strength_neuro}}</w:t>
      </w:r>
    </w:p>
    <w:p>
      <w:r>
        <w:t>Condition-specific exam: {{condition_specific_exam}}</w:t>
      </w:r>
    </w:p>
    <w:p>
      <w:r>
        <w:t>Red flag findings: {{red_flag_exam_findings}}</w:t>
      </w:r>
    </w:p>
    <w:p>
      <w:r>
        <w:t>Pain generator impression: {{pain_generator_impression}}</w:t>
      </w:r>
    </w:p>
    <w:p>
      <w:r>
        <w:t>Procedural target assessment: {{procedural_target_assessment}}</w:t>
      </w:r>
    </w:p>
    <w:p>
      <w:r>
        <w:t>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